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2ACCB">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34765D5">
      <w:pPr>
        <w:spacing w:line="540" w:lineRule="exact"/>
        <w:jc w:val="center"/>
        <w:rPr>
          <w:rFonts w:ascii="方正小标宋_GBK" w:hAnsi="华文中宋" w:eastAsia="方正小标宋_GBK" w:cs="宋体"/>
          <w:b/>
          <w:kern w:val="0"/>
          <w:sz w:val="48"/>
          <w:szCs w:val="48"/>
        </w:rPr>
      </w:pPr>
    </w:p>
    <w:p w14:paraId="2F976BEA">
      <w:pPr>
        <w:spacing w:line="540" w:lineRule="exact"/>
        <w:jc w:val="center"/>
        <w:rPr>
          <w:rFonts w:ascii="方正小标宋_GBK" w:hAnsi="华文中宋" w:eastAsia="方正小标宋_GBK" w:cs="宋体"/>
          <w:b/>
          <w:kern w:val="0"/>
          <w:sz w:val="48"/>
          <w:szCs w:val="48"/>
        </w:rPr>
      </w:pPr>
    </w:p>
    <w:p w14:paraId="2C190E9E">
      <w:pPr>
        <w:spacing w:line="540" w:lineRule="exact"/>
        <w:jc w:val="center"/>
        <w:rPr>
          <w:rFonts w:ascii="方正小标宋_GBK" w:hAnsi="华文中宋" w:eastAsia="方正小标宋_GBK" w:cs="宋体"/>
          <w:b/>
          <w:kern w:val="0"/>
          <w:sz w:val="48"/>
          <w:szCs w:val="48"/>
        </w:rPr>
      </w:pPr>
    </w:p>
    <w:p w14:paraId="02B5589F">
      <w:pPr>
        <w:spacing w:line="540" w:lineRule="exact"/>
        <w:jc w:val="center"/>
        <w:rPr>
          <w:rFonts w:ascii="方正小标宋_GBK" w:hAnsi="华文中宋" w:eastAsia="方正小标宋_GBK" w:cs="宋体"/>
          <w:b/>
          <w:kern w:val="0"/>
          <w:sz w:val="48"/>
          <w:szCs w:val="48"/>
        </w:rPr>
      </w:pPr>
    </w:p>
    <w:p w14:paraId="53378209">
      <w:pPr>
        <w:spacing w:line="540" w:lineRule="exact"/>
        <w:jc w:val="center"/>
        <w:rPr>
          <w:rFonts w:ascii="方正小标宋_GBK" w:hAnsi="华文中宋" w:eastAsia="方正小标宋_GBK" w:cs="宋体"/>
          <w:b/>
          <w:kern w:val="0"/>
          <w:sz w:val="48"/>
          <w:szCs w:val="48"/>
        </w:rPr>
      </w:pPr>
    </w:p>
    <w:p w14:paraId="0DE31133">
      <w:pPr>
        <w:spacing w:line="540" w:lineRule="exact"/>
        <w:jc w:val="center"/>
        <w:rPr>
          <w:rFonts w:ascii="方正小标宋_GBK" w:hAnsi="华文中宋" w:eastAsia="方正小标宋_GBK" w:cs="宋体"/>
          <w:b/>
          <w:kern w:val="0"/>
          <w:sz w:val="48"/>
          <w:szCs w:val="48"/>
        </w:rPr>
      </w:pPr>
    </w:p>
    <w:p w14:paraId="491245D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60DDAA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7AC1788">
      <w:pPr>
        <w:spacing w:line="540" w:lineRule="exact"/>
        <w:jc w:val="center"/>
        <w:rPr>
          <w:rFonts w:ascii="华文中宋" w:hAnsi="华文中宋" w:eastAsia="华文中宋" w:cs="宋体"/>
          <w:b/>
          <w:kern w:val="0"/>
          <w:sz w:val="52"/>
          <w:szCs w:val="52"/>
        </w:rPr>
      </w:pPr>
    </w:p>
    <w:p w14:paraId="5ADC8CB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12E4173">
      <w:pPr>
        <w:spacing w:line="700" w:lineRule="exact"/>
        <w:jc w:val="left"/>
        <w:rPr>
          <w:rFonts w:hint="eastAsia" w:hAnsi="宋体" w:eastAsia="仿宋_GB2312" w:cs="宋体"/>
          <w:kern w:val="0"/>
          <w:sz w:val="36"/>
          <w:szCs w:val="36"/>
        </w:rPr>
      </w:pPr>
    </w:p>
    <w:p w14:paraId="06E859F2">
      <w:pPr>
        <w:spacing w:line="700" w:lineRule="exact"/>
        <w:jc w:val="left"/>
        <w:rPr>
          <w:rFonts w:hint="eastAsia" w:hAnsi="宋体" w:eastAsia="仿宋_GB2312" w:cs="宋体"/>
          <w:kern w:val="0"/>
          <w:sz w:val="36"/>
          <w:szCs w:val="36"/>
        </w:rPr>
      </w:pPr>
    </w:p>
    <w:p w14:paraId="3220331E">
      <w:pPr>
        <w:spacing w:line="700" w:lineRule="exact"/>
        <w:jc w:val="left"/>
        <w:rPr>
          <w:rFonts w:hint="eastAsia" w:hAnsi="宋体" w:eastAsia="仿宋_GB2312" w:cs="宋体"/>
          <w:kern w:val="0"/>
          <w:sz w:val="36"/>
          <w:szCs w:val="36"/>
          <w:lang w:eastAsia="zh-CN"/>
        </w:rPr>
      </w:pPr>
    </w:p>
    <w:p w14:paraId="3A4A3683">
      <w:pPr>
        <w:spacing w:line="700" w:lineRule="exact"/>
        <w:jc w:val="left"/>
        <w:rPr>
          <w:rFonts w:hint="eastAsia" w:hAnsi="宋体" w:eastAsia="仿宋_GB2312" w:cs="宋体"/>
          <w:kern w:val="0"/>
          <w:sz w:val="36"/>
          <w:szCs w:val="36"/>
          <w:lang w:eastAsia="zh-CN"/>
        </w:rPr>
      </w:pPr>
    </w:p>
    <w:p w14:paraId="55BB22E0">
      <w:pPr>
        <w:spacing w:line="700" w:lineRule="exact"/>
        <w:jc w:val="left"/>
        <w:rPr>
          <w:rFonts w:hint="eastAsia" w:hAnsi="宋体" w:eastAsia="仿宋_GB2312" w:cs="宋体"/>
          <w:kern w:val="0"/>
          <w:sz w:val="36"/>
          <w:szCs w:val="36"/>
          <w:lang w:eastAsia="zh-CN"/>
        </w:rPr>
      </w:pPr>
    </w:p>
    <w:p w14:paraId="665DB373">
      <w:pPr>
        <w:spacing w:line="700" w:lineRule="exact"/>
        <w:jc w:val="left"/>
        <w:rPr>
          <w:rFonts w:hint="eastAsia" w:hAnsi="宋体" w:eastAsia="仿宋_GB2312" w:cs="宋体"/>
          <w:kern w:val="0"/>
          <w:sz w:val="36"/>
          <w:szCs w:val="36"/>
          <w:lang w:eastAsia="zh-CN"/>
        </w:rPr>
      </w:pPr>
    </w:p>
    <w:p w14:paraId="281D25D3">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克孜勒苏柯尔克孜自治州医疗保障局</w:t>
      </w:r>
    </w:p>
    <w:p w14:paraId="27322B55">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2022年04月12日</w:t>
      </w:r>
    </w:p>
    <w:p w14:paraId="1F3CD2AC">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E8B8CF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5857DA4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贯彻实施国家、自治区医疗保险、生育保险、医疗救助等医疗保障制度，拟订自治州医疗保险、生育保险、医疗救助等医疗保障制度的政策、规划、标准并组织实施；拟订人身意外伤害保险、大额医疗救助、公务员医疗补助、企事业单位补充医疗保险、离退休人员和优抚对象医疗保障等政策、管理办法并组织实施；拟订并组织实施自治州本级医疗保险、生育保险等政策。</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（2）组织实施医疗保障基金监督管理办法，建立健全医疗保障基金安全防控机制，承担推进医疗保障基金支付方式改革工作，编制自治州医疗保障基金预决算草案。</w:t>
      </w:r>
      <w:r>
        <w:rPr>
          <w:rFonts w:hint="eastAsia" w:ascii="仿宋_GB2312" w:hAnsi="宋体" w:eastAsia="仿宋_GB2312"/>
          <w:b w:val="0"/>
          <w:bCs/>
          <w:sz w:val="32"/>
          <w:szCs w:val="32"/>
        </w:rPr>
        <w:cr/>
      </w:r>
      <w:r>
        <w:rPr>
          <w:rFonts w:hint="eastAsia" w:ascii="仿宋_GB2312" w:hAnsi="宋体" w:eastAsia="仿宋_GB2312"/>
          <w:b w:val="0"/>
          <w:bCs/>
          <w:sz w:val="32"/>
          <w:szCs w:val="32"/>
        </w:rPr>
        <w:t>　　（3）组织拟订自治州医疗保障筹资和待遇政策，完善动态调整和区域调剂平衡机制，统筹城乡医疗保障待遇标准，建立健全与筹资水平相适应的待遇调整机制。拟订贯彻长期护理保险制度改革的方案并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4）组织拟订药品、医用耗材、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（5）组织制定自治州药品、医用耗材、医疗服务项目、医疗服务设施等医保目录和支付标准，建立动态调整机制。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6）制定定点医药机构协议和支付管理办法并组织实施，建立健全医疗保障信用评价体系和信息披露制度，监督管理纳入医保范围内的医疗服务行为和医疗费用，依法查处医疗保障、生育保险领域违法违规行为。</w:t>
      </w:r>
      <w:r>
        <w:rPr>
          <w:rFonts w:hint="eastAsia" w:ascii="仿宋_GB2312" w:hAnsi="宋体" w:eastAsia="仿宋_GB2312"/>
          <w:b w:val="0"/>
          <w:bCs/>
          <w:sz w:val="32"/>
          <w:szCs w:val="32"/>
        </w:rPr>
        <w:cr/>
      </w:r>
      <w:r>
        <w:rPr>
          <w:rFonts w:hint="eastAsia" w:ascii="仿宋_GB2312" w:hAnsi="宋体" w:eastAsia="仿宋_GB2312"/>
          <w:b w:val="0"/>
          <w:bCs/>
          <w:sz w:val="32"/>
          <w:szCs w:val="32"/>
        </w:rPr>
        <w:t>　　（7）负责医疗保障经办管理、公共服务体系和信息化建设，贯彻落实国家跨省异地就医及费用结算政策，组织制定疆内异地就医和费用结算政策。组织实施异地就医管理和费用结算政策，建立健全医疗保障关系转移接续制度。指导医疗保障经办机构开展业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（8）按照“管行业必须管安全、管业务必须管安全”的要求，对本行业领域安全生产负行业监管（行业主管）职责，组织开展本行业领域安全生产宣传教育、日常监督检查工作。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（9）完成自治州党委、自治州人民政府交办的其他任务。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10）职能转变。自治州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r>
        <w:rPr>
          <w:rFonts w:hint="eastAsia" w:ascii="仿宋_GB2312" w:hAnsi="宋体" w:eastAsia="仿宋_GB2312"/>
          <w:b w:val="0"/>
          <w:bCs/>
          <w:sz w:val="32"/>
          <w:szCs w:val="32"/>
        </w:rPr>
        <w:cr/>
      </w:r>
      <w:r>
        <w:rPr>
          <w:rFonts w:hint="eastAsia" w:ascii="仿宋_GB2312" w:hAnsi="宋体" w:eastAsia="仿宋_GB2312"/>
          <w:b w:val="0"/>
          <w:bCs/>
          <w:sz w:val="32"/>
          <w:szCs w:val="32"/>
        </w:rPr>
        <w:t>　　（11）与自治州卫生健康委员会的有关职责分工。</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医疗保障局无下属预算单位，下设2个科室：办公室、基金医药监管科。克孜勒苏柯尔克孜自治州医疗保障局下设一个事业机构：克州医疗保障事业发展中心，中心共下设5个科室，分别是：基金管理中心、结算中心、征缴中心、稽核和档案管理中心、信息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克孜勒苏柯尔克孜自治州医疗保障局编制数28人，实有人数27人，其中：在职26人；退休1人。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以“五个一”为抓手，进一步加强医保政策宣传力度，不断深化各族群众感恩意识。一是编制全州统一的城镇职工、城乡居民医疗救助等政策宣传摸板，按照自治区医保局“五个一”的要求进行宣传。二是开展医保政策进社区活动，努力做到医保政策人人皆知。三是认真开展医保业务“大培训、大练兵、大提升”活动，不断提升医保系统干部业务经办能力。利用医保视频会议系统，在全州医保系统开展医保政策“大培训、大练兵、大提升”活动，进一步提升基层医保干部业务经办能力。四是加强政务信息报送工作，进一步加大医保工作宣传力度。</w:t>
      </w:r>
      <w:r>
        <w:rPr>
          <w:rFonts w:hint="eastAsia" w:ascii="仿宋_GB2312" w:hAnsi="宋体" w:eastAsia="仿宋_GB2312"/>
          <w:b w:val="0"/>
          <w:bCs/>
          <w:sz w:val="32"/>
          <w:szCs w:val="32"/>
        </w:rPr>
        <w:cr/>
      </w:r>
      <w:r>
        <w:rPr>
          <w:rFonts w:hint="eastAsia" w:ascii="仿宋_GB2312" w:hAnsi="宋体" w:eastAsia="仿宋_GB2312"/>
          <w:b w:val="0"/>
          <w:bCs/>
          <w:sz w:val="32"/>
          <w:szCs w:val="32"/>
        </w:rPr>
        <w:t>　　（2）多措并举，千方百计做好医疗保险参保工作。一是部门联动、协调配合，全力做好全民参保缴费工作。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3）发挥医疗救助托底作用，杜绝因病致贫因病返贫。一是守牢应保尽保底线。把贫困人口全部纳入基本医疗保险、大病保险、医疗救助三重制度保障范围，确保了全州建档立卡贫困人口动态参保全覆盖，医疗救助、个人缴费资助全覆盖。将二次医疗救助基准线统一下调为1000元，让3118名困难患者受益，救助资金815.77万元，切实减轻高额医疗费用患者的经济负担。健全防返贫预警监测体系，加强工作调度，强化医疗救助业务培训，督促第三方保险公司及时开展二次医疗救助，巩固拓展脱贫攻坚成果，全面推进健康乡村建设。二是建立防贫减贫长效机制。建立贫困人口、边缘易致贫户大额医疗费用每月进行监测机制，将个人自付费用在1000元以上的22600人推送至县（市）医保局进一步筛选，积极与民政、扶贫办、保险公司等单位对接，进村入户了解患者家庭实际情况，发现存在返贫致贫风险的，及时开展二次医疗救助，进一步筑牢因病致贫因病返贫防线。</w:t>
      </w:r>
      <w:r>
        <w:rPr>
          <w:rFonts w:hint="eastAsia" w:ascii="仿宋_GB2312" w:hAnsi="宋体" w:eastAsia="仿宋_GB2312"/>
          <w:b w:val="0"/>
          <w:bCs/>
          <w:sz w:val="32"/>
          <w:szCs w:val="32"/>
        </w:rPr>
        <w:cr/>
      </w:r>
      <w:r>
        <w:rPr>
          <w:rFonts w:hint="eastAsia" w:ascii="仿宋_GB2312" w:hAnsi="宋体" w:eastAsia="仿宋_GB2312"/>
          <w:b w:val="0"/>
          <w:bCs/>
          <w:sz w:val="32"/>
          <w:szCs w:val="32"/>
        </w:rPr>
        <w:t>　　（4）完善医疗保障惠民政策，不断提高各族群众的感恩意。一是规范恶性肿瘤、肾衰竭门诊特殊慢性病支付标准。截至目前，为全州295名恶性肿瘤和肾透析患者就医提供了方便。二是通过认真测算，肾透析患者全年血液透析总费用约15万元，透析自付费用、药费、定期检查费自付合计约6万元左右，为防止困难群众因病致贫返贫，按照城乡居民二次医疗救助政策，对肾透析患者年内自付救助比例，也可分解到每个月进行报销。</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共计开展全州城乡居民肾衰竭患者救助78人，医疗救助基金补助1170万余元，为恶性肿瘤和肾透析患者就医提供了方便。三是完善苯丙酮尿症门诊统筹结算标准。积极联系克州妇幼保健中心，对苯丙酮尿症患者进行全面筛查，对全州符合救助条件的4名患者按照单次门诊起付标准为10元，统筹基金按80%的比例进行救助，年度统筹支付限额为2.5万元，减轻了患者就医负担。四是进一步加大慢性病及“两病”工作鉴定力度。</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克州城镇职工享受门诊特殊慢性病待遇9585人，克州城乡居民享受门诊特殊慢性病待遇标准2017人，全州城乡居民29710人享受“两病”政策。五是推广药品、耗材集中采购试点集中带量模式。使符合条件的医疗机构能够提供品种多、质量好、价格低的试点药品，让改革成果惠及更多群众。六是落实职工互助保障政策，积极构建多层次医疗保障体系。截至目前，全州共计1200名参保患者享受职工医疗互助金110.3万元。七是认真做好新冠病毒疫苗费用保障工作。及时成立了自治州新冠病毒疫苗及接种费用保障工作领导小组，明确工作职责，做好资金保障预算和资金划拨工作，及时上解资金，做好保障工作。截至目前及时上解自治区疫苗费用5410万元，拨付46家医疗机构接种费用467.96万元。八是推进兵地融合发展，认真做好兵地融合医保定点医药机构互认工作。为进一步推动兵地医疗保障融合发展，积极做好兵地医疗保障业务经办协同和信息互联互通工作，及时成立兵地融合发展工作领导小组，指定专人负责兵地融合互认定点医药机构工作，积极与新疆生产建设兵团第一、第三师医保局开展定点医药机构互认，结合克州工作实际，将兵团第一、第三师医院纳入克州定点医疗机构，进一步方便兵地参保群众就医。九是严格政府招标程序，认真做好医疗保障业务经办机构招标工作。完成了自治州城乡居民大病医疗保险经办机构招标工作。认真做好自治州职工大病医疗保险经办机构招标工作。与中标经办机构签订自治州职工大病医疗保险服务合同，严格落实城乡居民大病医疗保险经办各项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5）严厉打击欺诈骗保，认真开展定点医药机构考核和准入工作。一是领导重视，健全组织，高位推动基金监管工作。克州党政分管领导先后4次对基金监管工作存在问题的县（市）医保局主要领导和定点医药机构负责人进行约谈，各县（市）党政分管领导分别对所属定点医药机构进行约谈，强力推进基金监管工作。拟定《关于推进克州医疗保障基金监管制度体系改革的实施方案》，并由克州人民政府下发正式文件。二是开展专项稽核治理工作，拓宽基金监管方式。截至目前，共计检查定点零售药店62家，对8家存在问题突出的定点零售药店依法给予处罚，涉及金额5.84万元，追缴49家定点零售药店违规金额15.7万元，约谈55家定点零售药店；共计检查定点医疗机构123家，处理违规医药机构104家，追回或拒付违规基金941.19万元,行政处罚6.18万元，约谈7家定点医疗机构，奖励2名线索举报人员，奖励资金360元。三是认真开展定点医药机构年度考核和准入工作。四是积极配合自治区医保局基金监管飞行检查组，认真做好反馈问题整改工作。一是组织召开自治区医保局基金监管飞行检查动员会，克州党委常委海布努尔·玉山出席会议并作表态发言。二是照单全收，对检查组反馈的问题全部认领，立行立改，及时做好问题整改工作，对相关医疗机构负责人进行约谈，督促整改。召开问题整改专题会议，10个工作日内对相关医疗机构违规资金予以追回。三是举一反三，按照自治区医保局基金监管飞行检查工作的要求，做好飞行检查问题整改“后半篇”文章，对克州定点医疗机构进行全面检查，及时发现问题、整改问题，确保基金安全平稳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6）提升医保经办服务能力，为广大参保群众提供优质便利的医保服务。一是加强医保行风建设。围绕深化“放管服”改革总要求，以群众满意的医保公共服务体系建设为目标，以群众需求为中心，深入推进医保经办服务便民化，切实提高医疗保障经办服务水平，不断提升人民群众获得感和满意度。进一步完善医保经办服务大厅设施。二是加强医保信息化建设。今年以来，为确保国家医保信息平台如期在克州上线，克州医疗保障局党组高度重视，把信息平台上线工作作为今年医保工作的重中之重，截至目前，国家15项医保信息业务编码标准累计完成了31631条国家赋码，对自治区统一的三大项目目录，已按照要求完成了74957条完成映射，对自治区累计下发医保药品目录4432条、医用耗材编码61659条，除2263条本地不使用外，其余59396条完成映射，对克州34个门诊特殊慢性病病种均已完成国家赋码；克州辖区内协议定点医疗机构67家，国家维护平台有67家已获得国家赋码，赋码率100%。医保医师共维护1197条，已获得国家赋码，赋码率100%。医保护士共维护1925条，并获得国家赋码，赋码率100%。三是全面推进医保电子凭证上线应用推广工作。为保障全州广大参保群众充分享受“互联网+医保”带来的便利，认真做好医保电子凭证全面上线应用推广工作。截至目前，全州电子凭证激活总人数406400人，全州各定点医药机构（乡镇卫生院、村卫生室及定点零售药店）全面使用医保电子凭证开展线下结算业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医疗保障局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（2）收支管理：领导层是本单位收支业务管理的决策部门，负责审批单位收支业务等事项。涉及“三重一大”事项，根据《克州医疗保障局集体决策制度》和《克州医疗保障局项目管理办法》办理。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医疗保障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医疗保障局合同管理办法》相关规定，克孜勒苏柯尔克孜自治州医疗保障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431.21万元，项目支出安排资金231.72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本单位2021年度项目支出231.72万元，涉及项目数量15个，其中：重点项目支出54.66万元，涉及重点项目数量1个，重点项目支出与部门项目总支出的比率为23.59%。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2021年度本单位年初批复部门预算资金总额为565.78万元，年中调增预算总额为97.16万元，调整后全年预算资金总额为662.94万元。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2021年度本单位部门整体支出资金总额为662.94万元，预算执行率为100%，预算调整率为</w:t>
      </w:r>
      <w:r>
        <w:rPr>
          <w:rFonts w:hint="eastAsia" w:ascii="仿宋_GB2312" w:hAnsi="宋体" w:eastAsia="仿宋_GB2312"/>
          <w:b w:val="0"/>
          <w:bCs/>
          <w:sz w:val="32"/>
          <w:szCs w:val="32"/>
          <w:lang w:val="en-US" w:eastAsia="zh-CN"/>
        </w:rPr>
        <w:t>17.17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年初政府采购预算数为63.42万元，实际政府采购数为204.82万元，政府采购执行率为322.96%。</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0CA8351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55F0A63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为加强我单位预算管理、规范财务行为我单位制定了《克州医疗保障局内部控制规范》《克州医疗保障局项目管理规范》等资金管理制度，已建立制度均健全且有效运行。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2021年度我单位基本支出预算总额为431.21万元，其中人员经费416.51万元，公用经费14.70万元。实际执行总额为431.21万元，预算执行率100%。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6.89万元，比上年增加2.24万元，增加48.14%，主要原因是：克州医疗保障局是2019年新成立的单位，2020年我单位划转调入14人，人员增加，业务量随之增加，在做2021预算时，我单位三公经费增加了2万元，主要是小车运行经费增加了2万元，2021年，我单位本着厉行节约的原则，减少公务活动，公务接待尽量在接待标准范围内安排工作餐，减少宴请支出，全年公务接待批次11次，公务接待人次176人；严格管理公务用车，公车能不修理的尽量少修，能不派车的出差尽量不派，减少派车次数，减少车辆加油及维修次数，严格控制各项开支。其中，因公出国（境）费支出0万元；公务用车购置及运行维护费支出6万元；公务接待费支出0.89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与年初预算数相比情况：一般公共预算“三公”经费支出年初预算数8万元，预算执行数为6.89万元，执行率为86.13%，主要原因是：按照厉行节约的要求，2021年缩减公务车运行维护费，因此支出随之减少。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2021年度本单位项目支出预算总额为238.04万元，实际执行资金总额为231.72万元，预算执行率为97.30%。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2021年度预算安排专项资金33万元，实际支出资金33万元，预算执行率为100%，涉及项目个数3个。专项经费按照政策要求实行专款专用，不存在截留、挤占、挪用、虚列支出。各项目详细执行情况如下：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（1）自治区全民参保及医疗服务经费项目:全年预算数为11万元，预算执行数为11万元，预算执行率为100%。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（2）第一书记工作经费为民办实事经费项目:全年预算数为12万元，预算执行数为12万元，预算执行率为100%。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（3）中央医疗服务与保障能力提升补助资金项目:全年预算数为10万元，预算执行数为10万元，预算执行率为100%。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2021年度预算安排本级财力资金205.04万元，实际支出资金198.72万元，预算执行率为96.92%，涉及项目个数12个，各项目详细执行情况如下：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（1）群众工作经费项目:全年预算数为7万元，预算执行数为7万元，预算执行率为100%。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（2）医保宣传费项目:全年预算数为6万元，预算执行数为6万元，预算执行率为100%。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（3）医疗基金监管专项经费项目:全年预算数为26.4万元，预算执行数为25万元，预算执行率为94.70%。</w:t>
      </w:r>
      <w:r>
        <w:rPr>
          <w:rFonts w:hint="eastAsia" w:ascii="仿宋_GB2312" w:hAnsi="宋体" w:eastAsia="仿宋_GB2312"/>
          <w:b w:val="0"/>
          <w:bCs/>
          <w:sz w:val="32"/>
          <w:szCs w:val="32"/>
        </w:rPr>
        <w:cr/>
      </w:r>
      <w:r>
        <w:rPr>
          <w:rFonts w:hint="eastAsia" w:ascii="仿宋_GB2312" w:hAnsi="宋体" w:eastAsia="仿宋_GB2312"/>
          <w:b w:val="0"/>
          <w:bCs/>
          <w:sz w:val="32"/>
          <w:szCs w:val="32"/>
        </w:rPr>
        <w:t>　　（4）医疗救助经办费项目:全年预算数为49.99万元，预算执行数为49.99万元，预算执行率为100%。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（5）线路租赁费项目:全年预算数为2万元，预算执行数为2万元，预算执行率为100%。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（6）医保基金业务经办费项目:全年预算数为5万元，预算执行数为5万元，预算执行率为100%。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（7）机房托管服务费项目:全年预算数为8.4万元，预算执行数为8.4万元，预算执行率为100%。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（8）医保局视频会议室及医保监控中心设备和装修费项目:全年预算数为54.66万元，预算执行数为54.62万元，预算执行率为99.93%。</w:t>
      </w:r>
      <w:r>
        <w:rPr>
          <w:rFonts w:hint="eastAsia" w:ascii="仿宋_GB2312" w:hAnsi="宋体" w:eastAsia="仿宋_GB2312"/>
          <w:b w:val="0"/>
          <w:bCs/>
          <w:sz w:val="32"/>
          <w:szCs w:val="32"/>
        </w:rPr>
        <w:cr/>
      </w:r>
      <w:r>
        <w:rPr>
          <w:rFonts w:hint="eastAsia" w:ascii="仿宋_GB2312" w:hAnsi="宋体" w:eastAsia="仿宋_GB2312"/>
          <w:b w:val="0"/>
          <w:bCs/>
          <w:sz w:val="32"/>
          <w:szCs w:val="32"/>
        </w:rPr>
        <w:t>　　（9）医保局视频会议室及医保监控中心设备和装修费（尾款）项目:全年预算数为13.92万元，预算执行数为13.92万元，预算执行率为100%。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（10）飞行人员检查组费用项目:全年预算数为4.3万元，预算执行数为0.83万元，预算执行率为19.30%。</w:t>
      </w:r>
      <w:r>
        <w:rPr>
          <w:rFonts w:hint="eastAsia" w:ascii="仿宋_GB2312" w:hAnsi="宋体" w:eastAsia="仿宋_GB2312"/>
          <w:b w:val="0"/>
          <w:bCs/>
          <w:sz w:val="32"/>
          <w:szCs w:val="32"/>
        </w:rPr>
        <w:cr/>
      </w:r>
      <w:r>
        <w:rPr>
          <w:rFonts w:hint="eastAsia" w:ascii="仿宋_GB2312" w:hAnsi="宋体" w:eastAsia="仿宋_GB2312"/>
          <w:b w:val="0"/>
          <w:bCs/>
          <w:sz w:val="32"/>
          <w:szCs w:val="32"/>
        </w:rPr>
        <w:t>　　（11）骨干网建设费项目:全年预算数为19.87万元，预算执行数为19.87万元，预算执行率为100%。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（12）追加办公用品及设备购置费项目:全年预算数为7.5万元，预算执行数为7.5万元，预算执行率为100%。</w:t>
      </w:r>
    </w:p>
    <w:p w14:paraId="0ED732C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7FC1DD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97.34%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（1）自治区全民参保及医疗服务经费项目:《关于提前下达2021年自治区全民参保及医疗服务经费的通知》（新财社〔2020〕273号）</w:t>
      </w:r>
      <w:r>
        <w:rPr>
          <w:rFonts w:hint="eastAsia" w:ascii="仿宋_GB2312" w:hAnsi="宋体" w:eastAsia="仿宋_GB2312"/>
          <w:b w:val="0"/>
          <w:bCs/>
          <w:sz w:val="32"/>
          <w:szCs w:val="32"/>
        </w:rPr>
        <w:cr/>
      </w:r>
      <w:r>
        <w:rPr>
          <w:rFonts w:hint="eastAsia" w:ascii="仿宋_GB2312" w:hAnsi="宋体" w:eastAsia="仿宋_GB2312"/>
          <w:b w:val="0"/>
          <w:bCs/>
          <w:sz w:val="32"/>
          <w:szCs w:val="32"/>
        </w:rPr>
        <w:t>　　（2）第一书记工作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（3）中央医疗服务与保障能力提升补助资金项目:《关于拨付2021年中央医疗服务与保障能力提升补助资金（医疗保障服务能力提升部分）预算的通知》（克财社〔2021〕25号）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33万元，资金全部到位，实际使用资金33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①制订《克孜勒苏柯尔克孜自治州医疗保障局经费使用规范》,为合理合规使用经费提供了有力的制度保障。同时,建立区委组织部项目经费内部管控制度，并严格按要求落实。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2021年中央医疗服务与保障能力提升补助资金项目：主要用于医保大厅基础设施建设，有利于提升医保信息化水平，加强网络、信息安全、基础设施等方面建设，进一步夯实技术基础，切实保障医保信息系统高效、安全运行。加快推进新系统上线。有效提升综合监管、宣传引导、经办服务、信息化建设、人才队伍建设等医保保障服务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2）自治区全民参保及医疗服务经费项目：主要用于经办人员办公费、宣传费设备采购差旅费等，提升医保信息化水平，加强网络、信息安全、基础设施等方面建设，进一步夯实技术基础，切实保障医保信息系统高效、安全运行，提高书记采集质量和速度。加强打击欺诈骗保工作力度，切实保障医保基金合理有效使用。加快推进医保支付改革和DRG试点工作。有效提升综合监管、宣传引导、经办服务、人才队伍建设等医疗保障服务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3）为民办实事经费及第一书记工作经费项目：主要用于访惠聚工作队专项工作经费，有利于我单位驻村工作队开展为民办实事专项工作，其中50%用于解决群众生产发展维修改造帮扶、25%用于访贫问苦活动、25%用于村级组织开展活动，为群众带去温暖，宣传国家相关政策及法律法规，维护社会稳定和长治久安，从而提高群众幸福度和归属感。</w:t>
      </w:r>
    </w:p>
    <w:p w14:paraId="72CBD96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64924CE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本单位2021年初资产合计数为60.01万元，年末资产合计数为177.81万元。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截止本年度固定资产账面净值170.75万元，年末实际在用固定资产170.75万元，固定资产利用率为100%。</w:t>
      </w:r>
    </w:p>
    <w:p w14:paraId="2FF9A99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3F8F6A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部门单位整体支出共设置一级指标3个，二级指标6个，三级指标16个，其中已完成三级指标15个，指标完成率为93.75%。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“医疗保险参保人数（万人）”指标：预期指标值为≥62.20万人，实际完成指标值为62.20万人，指标完成率为100%。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“租用网络线路数量（条）”指标：预期指标值为≥4条，实际完成指标值为4条，指标完成率为100%。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“印刷医疗保险宣传册数量（份）”指标：预期指标值为≥40000份实际完成指标值为40000份，指标完成率为100%。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“一站式服务托管机构数量（个）”指标：预期指标值为=1个实际完成指标值为1个，指标完成率为100%。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“定点医保药店数量（家）”指标：预期指标值为≥208家，实际完成指标值为208家，指标完成率为100%。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“医保业务管理单位（家）”指标：预期指标值为≥5家，实际完成指标值为5家，指标完成率为100%。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“项目完成时间”指标：预期指标值为2021年12月，实际完成指标值为2021年12月，指标完成率为100%。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“人员经费（万元）”指标：预期指标值为=323.3万元，实际完成指标值为323.3万元，指标完成率为100%。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18.66万元，实际完成指标值为14.7万元，指标完成率为78.78%。偏差原因：2021年预算中安排三公经费，而实际支出时本年申请了飞行检查的餐费，本年的三公经费接待费未支出，改进措施：做好年初预算编制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“公用经费（万元）”指标：预期指标值为=223.83万元，实际完成指标值为223.83万元，指标完成率为100%。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无此项指标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“减轻参保人员就医经济负担，缓解社会矛盾”指标：预期指标值为有效减轻，实际完成指标值为有效减轻，指标完成率为100%;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“提升社会公共服务能力”指标：预期指标值为有效提升，实际完成指标值有效提升，指标完成率为100%;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无此项指标。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“持续深入开展打击欺诈骗保专项治理行动”指标：预期指标值为长期，实际完成指标值为长期，指标完成率为100%;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“受益群众满意度（%）”指标：预期指标值为≥95%，实际完成指标值为95%，指标完成率为100%;</w:t>
      </w:r>
    </w:p>
    <w:p w14:paraId="124D675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0684D44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967DD2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659706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7A9ADA3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9D2195A"/>
    <w:rsid w:val="51C70EA9"/>
    <w:rsid w:val="54F842B6"/>
    <w:rsid w:val="5F8B2F99"/>
    <w:rsid w:val="656071F2"/>
    <w:rsid w:val="6BF1756B"/>
    <w:rsid w:val="6F5E1AA3"/>
    <w:rsid w:val="767F16BF"/>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14079</Words>
  <Characters>14809</Characters>
  <Lines>2</Lines>
  <Paragraphs>1</Paragraphs>
  <TotalTime>31</TotalTime>
  <ScaleCrop>false</ScaleCrop>
  <LinksUpToDate>false</LinksUpToDate>
  <CharactersWithSpaces>15157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2025-07-31T03:33:27Z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